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FA1CB5">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A07639">
        <w:rPr>
          <w:rFonts w:eastAsia="Calibri"/>
          <w:b/>
          <w:sz w:val="26"/>
          <w:szCs w:val="26"/>
          <w:lang w:eastAsia="en-US"/>
        </w:rPr>
        <w:t>6</w:t>
      </w:r>
      <w:r w:rsidR="00FA1CB5">
        <w:rPr>
          <w:rFonts w:eastAsia="Calibri"/>
          <w:b/>
          <w:sz w:val="26"/>
          <w:szCs w:val="26"/>
          <w:lang w:eastAsia="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456936" w:rsidRPr="001F185B" w:rsidRDefault="00AC3FBA" w:rsidP="00456936">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B54C69">
              <w:rPr>
                <w:rFonts w:eastAsia="Calibri"/>
                <w:sz w:val="26"/>
                <w:szCs w:val="26"/>
                <w:lang w:eastAsia="en-US"/>
              </w:rPr>
              <w:t>а</w:t>
            </w:r>
            <w:r w:rsidRPr="001F185B">
              <w:rPr>
                <w:rFonts w:eastAsia="Calibri"/>
                <w:sz w:val="26"/>
                <w:szCs w:val="26"/>
                <w:lang w:eastAsia="en-US"/>
              </w:rPr>
              <w:t xml:space="preserve"> электросетевого хозяйства – </w:t>
            </w:r>
          </w:p>
          <w:p w:rsidR="00AC3FBA" w:rsidRPr="00FF4F5C" w:rsidRDefault="00456936" w:rsidP="00FF4F5C">
            <w:pPr>
              <w:jc w:val="center"/>
            </w:pPr>
            <w:r>
              <w:rPr>
                <w:rStyle w:val="fontstyle01"/>
              </w:rPr>
              <w:t>«</w:t>
            </w:r>
            <w:r>
              <w:rPr>
                <w:rStyle w:val="fontstyle11"/>
              </w:rPr>
              <w:t xml:space="preserve">Трансформатор силовой ТМГ </w:t>
            </w:r>
            <w:r>
              <w:rPr>
                <w:rStyle w:val="fontstyle01"/>
              </w:rPr>
              <w:t>400/6/0,4-</w:t>
            </w:r>
            <w:r>
              <w:rPr>
                <w:rStyle w:val="fontstyle11"/>
              </w:rPr>
              <w:t>УкВА</w:t>
            </w:r>
            <w:r>
              <w:rPr>
                <w:rFonts w:ascii="TimesNewRoman" w:hAnsi="TimesNewRoman"/>
                <w:color w:val="000000"/>
              </w:rPr>
              <w:br/>
            </w:r>
            <w:r>
              <w:rPr>
                <w:rStyle w:val="fontstyle01"/>
              </w:rPr>
              <w:t xml:space="preserve">(1846531) </w:t>
            </w:r>
            <w:r>
              <w:rPr>
                <w:rStyle w:val="fontstyle11"/>
              </w:rPr>
              <w:t>КТП</w:t>
            </w:r>
            <w:r>
              <w:rPr>
                <w:rStyle w:val="fontstyle01"/>
              </w:rPr>
              <w:t xml:space="preserve">-9 </w:t>
            </w:r>
            <w:proofErr w:type="spellStart"/>
            <w:r>
              <w:rPr>
                <w:rStyle w:val="fontstyle11"/>
              </w:rPr>
              <w:t>п</w:t>
            </w:r>
            <w:r>
              <w:rPr>
                <w:rStyle w:val="fontstyle01"/>
              </w:rPr>
              <w:t>.</w:t>
            </w:r>
            <w:r>
              <w:rPr>
                <w:rStyle w:val="fontstyle11"/>
              </w:rPr>
              <w:t>Зверосовхоз</w:t>
            </w:r>
            <w:proofErr w:type="spellEnd"/>
            <w:r>
              <w:rPr>
                <w:rStyle w:val="fontstyle01"/>
              </w:rPr>
              <w:t>»</w:t>
            </w:r>
            <w:r w:rsidR="005B68DB">
              <w:rPr>
                <w:rStyle w:val="fontstyle01"/>
              </w:rPr>
              <w:t xml:space="preserve">, </w:t>
            </w:r>
            <w:r w:rsidR="00AC3FBA" w:rsidRPr="005201C5">
              <w:rPr>
                <w:rFonts w:eastAsia="Calibri"/>
                <w:sz w:val="26"/>
                <w:szCs w:val="26"/>
                <w:lang w:eastAsia="en-US"/>
              </w:rPr>
              <w:t>находящ</w:t>
            </w:r>
            <w:r w:rsidR="00FF4F5C">
              <w:rPr>
                <w:rFonts w:eastAsia="Calibri"/>
                <w:sz w:val="26"/>
                <w:szCs w:val="26"/>
                <w:lang w:eastAsia="en-US"/>
              </w:rPr>
              <w:t>егося</w:t>
            </w:r>
            <w:r w:rsidR="00AC3FBA" w:rsidRPr="005201C5">
              <w:rPr>
                <w:rFonts w:eastAsia="Calibri"/>
                <w:sz w:val="26"/>
                <w:szCs w:val="26"/>
                <w:lang w:eastAsia="en-US"/>
              </w:rPr>
              <w:t xml:space="preserve">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BA6F0D">
              <w:rPr>
                <w:rFonts w:eastAsia="Calibri"/>
                <w:b/>
                <w:sz w:val="26"/>
                <w:szCs w:val="26"/>
                <w:lang w:eastAsia="en-US"/>
              </w:rPr>
              <w:t>иные источники опубликования</w:t>
            </w:r>
            <w:r w:rsidR="00BA6F0D">
              <w:rPr>
                <w:rFonts w:eastAsia="Calibri"/>
                <w:b/>
                <w:sz w:val="26"/>
                <w:szCs w:val="26"/>
                <w:lang w:eastAsia="en-US"/>
              </w:rPr>
              <w:t xml:space="preserve">, </w:t>
            </w:r>
            <w:r w:rsidRPr="001F185B">
              <w:rPr>
                <w:rFonts w:eastAsia="Calibri"/>
                <w:b/>
                <w:sz w:val="26"/>
                <w:szCs w:val="26"/>
                <w:lang w:eastAsia="en-US"/>
              </w:rPr>
              <w:t>на которых размещается сообщение о поступившем ходатайстве об устан</w:t>
            </w:r>
            <w:bookmarkStart w:id="0" w:name="_GoBack"/>
            <w:bookmarkEnd w:id="0"/>
            <w:r w:rsidRPr="001F185B">
              <w:rPr>
                <w:rFonts w:eastAsia="Calibri"/>
                <w:b/>
                <w:sz w:val="26"/>
                <w:szCs w:val="26"/>
                <w:lang w:eastAsia="en-US"/>
              </w:rPr>
              <w:t>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w:t>
            </w:r>
            <w:r w:rsidRPr="001F185B">
              <w:rPr>
                <w:rFonts w:eastAsia="Calibri"/>
                <w:b/>
                <w:sz w:val="26"/>
                <w:szCs w:val="26"/>
                <w:lang w:eastAsia="en-US"/>
              </w:rPr>
              <w:lastRenderedPageBreak/>
              <w:t>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w:t>
            </w:r>
            <w:r>
              <w:rPr>
                <w:rFonts w:eastAsia="Calibri" w:cs="Arial"/>
                <w:sz w:val="26"/>
                <w:szCs w:val="26"/>
              </w:rPr>
              <w:lastRenderedPageBreak/>
              <w:t>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5B68DB" w:rsidRPr="005B68DB" w:rsidRDefault="00376036" w:rsidP="005B68DB">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11</w:t>
            </w:r>
            <w:r w:rsidR="00456936">
              <w:rPr>
                <w:rFonts w:eastAsia="Calibri"/>
                <w:color w:val="FF0000"/>
                <w:sz w:val="26"/>
                <w:szCs w:val="26"/>
                <w:lang w:eastAsia="en-US"/>
              </w:rPr>
              <w:t>87</w:t>
            </w:r>
            <w:r w:rsidRPr="000500D8">
              <w:rPr>
                <w:rFonts w:eastAsia="Calibri"/>
                <w:color w:val="FF0000"/>
                <w:sz w:val="26"/>
                <w:szCs w:val="26"/>
                <w:lang w:eastAsia="en-US"/>
              </w:rPr>
              <w:t xml:space="preserve">, </w:t>
            </w:r>
            <w:r w:rsidR="00A77E13" w:rsidRPr="005201C5">
              <w:rPr>
                <w:rFonts w:eastAsia="Calibri"/>
                <w:sz w:val="26"/>
                <w:szCs w:val="26"/>
                <w:lang w:eastAsia="en-US"/>
              </w:rPr>
              <w:t>Охранная зона комплекса</w:t>
            </w:r>
            <w:r w:rsidR="004F50BB">
              <w:rPr>
                <w:rFonts w:eastAsia="Calibri"/>
                <w:sz w:val="26"/>
                <w:szCs w:val="26"/>
                <w:lang w:eastAsia="en-US"/>
              </w:rPr>
              <w:t xml:space="preserve"> </w:t>
            </w:r>
            <w:r w:rsidR="005B68DB" w:rsidRPr="005B68DB">
              <w:rPr>
                <w:rFonts w:eastAsia="Calibri"/>
                <w:sz w:val="26"/>
                <w:szCs w:val="26"/>
                <w:lang w:eastAsia="en-US"/>
              </w:rPr>
              <w:t>«Трансформатор силовой</w:t>
            </w:r>
          </w:p>
          <w:p w:rsidR="005B68DB" w:rsidRPr="005B68DB" w:rsidRDefault="005B68DB" w:rsidP="005B68DB">
            <w:pPr>
              <w:autoSpaceDE w:val="0"/>
              <w:autoSpaceDN w:val="0"/>
              <w:adjustRightInd w:val="0"/>
              <w:jc w:val="center"/>
              <w:rPr>
                <w:rFonts w:eastAsia="Calibri"/>
                <w:sz w:val="26"/>
                <w:szCs w:val="26"/>
                <w:lang w:eastAsia="en-US"/>
              </w:rPr>
            </w:pPr>
            <w:r w:rsidRPr="005B68DB">
              <w:rPr>
                <w:rFonts w:eastAsia="Calibri"/>
                <w:sz w:val="26"/>
                <w:szCs w:val="26"/>
                <w:lang w:eastAsia="en-US"/>
              </w:rPr>
              <w:t>ТМГ 400/6/0,4-УкВА (1846531) КТП-9</w:t>
            </w:r>
          </w:p>
          <w:p w:rsidR="00AC3FBA" w:rsidRPr="00210AA8" w:rsidRDefault="005B68DB" w:rsidP="005B68DB">
            <w:pPr>
              <w:autoSpaceDE w:val="0"/>
              <w:autoSpaceDN w:val="0"/>
              <w:adjustRightInd w:val="0"/>
              <w:jc w:val="center"/>
              <w:rPr>
                <w:rFonts w:eastAsia="Calibri"/>
                <w:sz w:val="26"/>
                <w:szCs w:val="26"/>
                <w:lang w:eastAsia="en-US"/>
              </w:rPr>
            </w:pPr>
            <w:proofErr w:type="spellStart"/>
            <w:r w:rsidRPr="005B68DB">
              <w:rPr>
                <w:rFonts w:eastAsia="Calibri"/>
                <w:sz w:val="26"/>
                <w:szCs w:val="26"/>
                <w:lang w:eastAsia="en-US"/>
              </w:rPr>
              <w:t>п.Зверосовхоз</w:t>
            </w:r>
            <w:proofErr w:type="spellEnd"/>
            <w:r w:rsidRPr="005B68DB">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B47F4F">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456936">
              <w:rPr>
                <w:rFonts w:eastAsia="Calibri"/>
                <w:sz w:val="24"/>
                <w:szCs w:val="24"/>
                <w:lang w:eastAsia="en-US"/>
              </w:rPr>
              <w:t>512</w:t>
            </w:r>
            <w:r w:rsidR="004C2432" w:rsidRPr="000500D8">
              <w:rPr>
                <w:rFonts w:eastAsia="Calibri"/>
                <w:color w:val="FF0000"/>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4F50BB" w:rsidRDefault="00456936" w:rsidP="000500D8">
            <w:pPr>
              <w:rPr>
                <w:sz w:val="26"/>
                <w:szCs w:val="26"/>
              </w:rPr>
            </w:pPr>
            <w:r w:rsidRPr="00456936">
              <w:rPr>
                <w:sz w:val="26"/>
                <w:szCs w:val="26"/>
              </w:rPr>
              <w:t>51:01:0000000:303</w:t>
            </w:r>
          </w:p>
          <w:p w:rsidR="00456936" w:rsidRDefault="00456936" w:rsidP="000500D8">
            <w:pPr>
              <w:rPr>
                <w:sz w:val="26"/>
                <w:szCs w:val="26"/>
              </w:rPr>
            </w:pPr>
            <w:r w:rsidRPr="00456936">
              <w:rPr>
                <w:sz w:val="26"/>
                <w:szCs w:val="26"/>
              </w:rPr>
              <w:t>51:01:3003002:331</w:t>
            </w:r>
          </w:p>
          <w:p w:rsidR="00456936" w:rsidRPr="003F416B" w:rsidRDefault="00456936" w:rsidP="000500D8">
            <w:pPr>
              <w:rPr>
                <w:sz w:val="26"/>
                <w:szCs w:val="26"/>
              </w:rPr>
            </w:pPr>
            <w:r w:rsidRPr="00456936">
              <w:rPr>
                <w:sz w:val="26"/>
                <w:szCs w:val="26"/>
              </w:rPr>
              <w:t>51:01:3003002:579</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210AA8"/>
    <w:rsid w:val="002B6E7B"/>
    <w:rsid w:val="00376036"/>
    <w:rsid w:val="0038096A"/>
    <w:rsid w:val="003F416B"/>
    <w:rsid w:val="00456936"/>
    <w:rsid w:val="004C2432"/>
    <w:rsid w:val="004F50BB"/>
    <w:rsid w:val="005201C5"/>
    <w:rsid w:val="005A6339"/>
    <w:rsid w:val="005B51BF"/>
    <w:rsid w:val="005B68DB"/>
    <w:rsid w:val="006008D5"/>
    <w:rsid w:val="00606006"/>
    <w:rsid w:val="00784B1A"/>
    <w:rsid w:val="007C093D"/>
    <w:rsid w:val="007C1CF3"/>
    <w:rsid w:val="007F55FB"/>
    <w:rsid w:val="00837C6F"/>
    <w:rsid w:val="008B744B"/>
    <w:rsid w:val="00923443"/>
    <w:rsid w:val="009434B5"/>
    <w:rsid w:val="00A07639"/>
    <w:rsid w:val="00A77E13"/>
    <w:rsid w:val="00A967A0"/>
    <w:rsid w:val="00AC3FBA"/>
    <w:rsid w:val="00B451DD"/>
    <w:rsid w:val="00B47F4F"/>
    <w:rsid w:val="00B54C69"/>
    <w:rsid w:val="00BA6F0D"/>
    <w:rsid w:val="00BD7C20"/>
    <w:rsid w:val="00BF2636"/>
    <w:rsid w:val="00D05E87"/>
    <w:rsid w:val="00D21C1B"/>
    <w:rsid w:val="00DA1FA5"/>
    <w:rsid w:val="00E86E28"/>
    <w:rsid w:val="00EA65D5"/>
    <w:rsid w:val="00F433D7"/>
    <w:rsid w:val="00F7114B"/>
    <w:rsid w:val="00FA1CB5"/>
    <w:rsid w:val="00FE5CBF"/>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6FE"/>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40228887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35</cp:revision>
  <cp:lastPrinted>2022-11-30T06:58:00Z</cp:lastPrinted>
  <dcterms:created xsi:type="dcterms:W3CDTF">2019-05-28T15:03:00Z</dcterms:created>
  <dcterms:modified xsi:type="dcterms:W3CDTF">2022-12-15T10:36:00Z</dcterms:modified>
</cp:coreProperties>
</file>